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ind w:firstLine="563" w:firstLineChars="176"/>
        <w:jc w:val="left"/>
        <w:rPr>
          <w:rFonts w:ascii="黑体-简" w:hAnsi="黑体-简" w:eastAsia="黑体-简" w:cs="黑体-简"/>
          <w:sz w:val="32"/>
          <w:szCs w:val="32"/>
          <w:lang w:val="zh-CN" w:eastAsia="zh-TW"/>
        </w:rPr>
      </w:pPr>
      <w:r>
        <w:rPr>
          <w:rFonts w:ascii="黑体-简" w:hAnsi="黑体-简" w:eastAsia="黑体-简" w:cs="黑体-简"/>
          <w:sz w:val="32"/>
          <w:szCs w:val="32"/>
          <w:lang w:val="zh-CN" w:eastAsia="zh-TW"/>
        </w:rPr>
        <w:t>附件三</w:t>
      </w:r>
    </w:p>
    <w:p>
      <w:pPr>
        <w:widowControl/>
        <w:spacing w:line="560" w:lineRule="exact"/>
        <w:jc w:val="center"/>
        <w:rPr>
          <w:rFonts w:ascii="黑体-简" w:hAnsi="黑体-简" w:eastAsia="黑体-简" w:cs="黑体-简"/>
          <w:sz w:val="36"/>
          <w:szCs w:val="32"/>
          <w:lang w:val="zh-CN" w:eastAsia="zh-TW"/>
        </w:rPr>
      </w:pPr>
      <w:r>
        <w:rPr>
          <w:rFonts w:hint="eastAsia" w:ascii="黑体-简" w:hAnsi="黑体-简" w:eastAsia="黑体-简" w:cs="黑体-简"/>
          <w:sz w:val="36"/>
          <w:szCs w:val="32"/>
          <w:lang w:val="zh-CN" w:eastAsia="zh-TW"/>
        </w:rPr>
        <w:t>奖项设置及政策支持</w:t>
      </w:r>
    </w:p>
    <w:p>
      <w:pPr>
        <w:widowControl/>
        <w:spacing w:line="560" w:lineRule="exact"/>
        <w:ind w:firstLine="563" w:firstLineChars="176"/>
        <w:jc w:val="center"/>
        <w:rPr>
          <w:rFonts w:ascii="楷体_GB2312" w:hAnsi="楷体" w:eastAsia="楷体_GB2312" w:cs="楷体"/>
          <w:color w:val="000000"/>
          <w:sz w:val="32"/>
          <w:szCs w:val="32"/>
          <w:u w:color="000000"/>
        </w:rPr>
      </w:pPr>
    </w:p>
    <w:p>
      <w:pPr>
        <w:widowControl/>
        <w:spacing w:line="560" w:lineRule="exact"/>
        <w:ind w:firstLine="565" w:firstLineChars="176"/>
        <w:jc w:val="left"/>
        <w:rPr>
          <w:rFonts w:ascii="仿宋_GB2312" w:hAnsi="仿宋_GB2312" w:eastAsia="仿宋_GB2312" w:cs="仿宋_GB2312"/>
          <w:b/>
          <w:sz w:val="32"/>
          <w:szCs w:val="32"/>
        </w:rPr>
      </w:pPr>
      <w:r>
        <w:rPr>
          <w:rFonts w:hint="eastAsia" w:ascii="楷体_GB2312" w:hAnsi="楷体" w:eastAsia="楷体_GB2312" w:cs="楷体"/>
          <w:b/>
          <w:color w:val="000000"/>
          <w:sz w:val="32"/>
          <w:szCs w:val="32"/>
          <w:u w:color="000000"/>
        </w:rPr>
        <w:t>一、</w:t>
      </w:r>
      <w:r>
        <w:rPr>
          <w:rFonts w:hint="eastAsia" w:ascii="仿宋_GB2312" w:hAnsi="仿宋_GB2312" w:eastAsia="仿宋_GB2312" w:cs="仿宋_GB2312"/>
          <w:b/>
          <w:sz w:val="32"/>
          <w:szCs w:val="32"/>
        </w:rPr>
        <w:t>奖项设置：</w:t>
      </w:r>
    </w:p>
    <w:p>
      <w:pPr>
        <w:widowControl/>
        <w:spacing w:line="560" w:lineRule="exact"/>
        <w:ind w:firstLine="563" w:firstLineChars="17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一等奖2名（奖金</w:t>
      </w:r>
      <w:r>
        <w:rPr>
          <w:rFonts w:ascii="仿宋_GB2312" w:hAnsi="仿宋_GB2312" w:eastAsia="仿宋_GB2312" w:cs="仿宋_GB2312"/>
          <w:sz w:val="32"/>
          <w:szCs w:val="32"/>
        </w:rPr>
        <w:t>各</w:t>
      </w:r>
      <w:r>
        <w:rPr>
          <w:rFonts w:hint="eastAsia" w:ascii="仿宋_GB2312" w:hAnsi="仿宋_GB2312" w:eastAsia="仿宋_GB2312" w:cs="仿宋_GB2312"/>
          <w:sz w:val="32"/>
          <w:szCs w:val="32"/>
        </w:rPr>
        <w:t>5万元）</w:t>
      </w:r>
    </w:p>
    <w:p>
      <w:pPr>
        <w:widowControl/>
        <w:spacing w:line="560" w:lineRule="exact"/>
        <w:ind w:firstLine="563" w:firstLineChars="17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二等奖3名（奖金各</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万元）</w:t>
      </w:r>
    </w:p>
    <w:p>
      <w:pPr>
        <w:widowControl/>
        <w:spacing w:line="560" w:lineRule="exact"/>
        <w:ind w:firstLine="563" w:firstLineChars="17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三等奖5名（奖金各</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万元）</w:t>
      </w:r>
    </w:p>
    <w:p>
      <w:pPr>
        <w:widowControl/>
        <w:spacing w:line="560" w:lineRule="exact"/>
        <w:ind w:firstLine="563" w:firstLineChars="176"/>
        <w:jc w:val="left"/>
        <w:rPr>
          <w:rFonts w:ascii="仿宋_GB2312" w:hAnsi="仿宋_GB2312" w:eastAsia="仿宋_GB2312" w:cs="仿宋_GB2312"/>
          <w:sz w:val="32"/>
          <w:szCs w:val="32"/>
        </w:rPr>
      </w:pPr>
      <w:r>
        <w:rPr>
          <w:rFonts w:ascii="仿宋_GB2312" w:hAnsi="仿宋_GB2312" w:eastAsia="仿宋_GB2312" w:cs="仿宋_GB2312"/>
          <w:sz w:val="32"/>
          <w:szCs w:val="32"/>
        </w:rPr>
        <w:t>单项奖</w:t>
      </w:r>
      <w:r>
        <w:rPr>
          <w:rFonts w:hint="eastAsia" w:ascii="仿宋_GB2312" w:hAnsi="仿宋_GB2312" w:eastAsia="仿宋_GB2312" w:cs="仿宋_GB2312"/>
          <w:sz w:val="32"/>
          <w:szCs w:val="32"/>
        </w:rPr>
        <w:t>2名（奖金</w:t>
      </w:r>
      <w:r>
        <w:rPr>
          <w:rFonts w:ascii="仿宋_GB2312" w:hAnsi="仿宋_GB2312" w:eastAsia="仿宋_GB2312" w:cs="仿宋_GB2312"/>
          <w:sz w:val="32"/>
          <w:szCs w:val="32"/>
        </w:rPr>
        <w:t>各</w:t>
      </w:r>
      <w:r>
        <w:rPr>
          <w:rFonts w:hint="eastAsia" w:ascii="仿宋_GB2312" w:hAnsi="仿宋_GB2312" w:eastAsia="仿宋_GB2312" w:cs="仿宋_GB2312"/>
          <w:sz w:val="32"/>
          <w:szCs w:val="32"/>
        </w:rPr>
        <w:t>1万元）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颁发奖金、奖牌、证书。</w:t>
      </w:r>
    </w:p>
    <w:p>
      <w:pPr>
        <w:widowControl/>
        <w:spacing w:line="560" w:lineRule="exact"/>
        <w:ind w:firstLine="563" w:firstLineChars="17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最佳</w:t>
      </w:r>
      <w:r>
        <w:rPr>
          <w:rFonts w:ascii="仿宋_GB2312" w:hAnsi="仿宋_GB2312" w:eastAsia="仿宋_GB2312" w:cs="仿宋_GB2312"/>
          <w:sz w:val="32"/>
          <w:szCs w:val="32"/>
        </w:rPr>
        <w:t>组织奖若干，</w:t>
      </w:r>
      <w:r>
        <w:rPr>
          <w:rFonts w:hint="eastAsia" w:ascii="仿宋_GB2312" w:hAnsi="仿宋_GB2312" w:eastAsia="仿宋_GB2312" w:cs="仿宋_GB2312"/>
          <w:sz w:val="32"/>
          <w:szCs w:val="32"/>
        </w:rPr>
        <w:t>优秀奖</w:t>
      </w:r>
      <w:r>
        <w:rPr>
          <w:rFonts w:ascii="仿宋_GB2312" w:hAnsi="仿宋_GB2312" w:eastAsia="仿宋_GB2312" w:cs="仿宋_GB2312"/>
          <w:sz w:val="32"/>
          <w:szCs w:val="32"/>
        </w:rPr>
        <w:t>若干，颁发</w:t>
      </w:r>
      <w:r>
        <w:rPr>
          <w:rFonts w:hint="eastAsia" w:ascii="仿宋_GB2312" w:hAnsi="仿宋_GB2312" w:eastAsia="仿宋_GB2312" w:cs="仿宋_GB2312"/>
          <w:sz w:val="32"/>
          <w:szCs w:val="32"/>
        </w:rPr>
        <w:t>奖金（5</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、奖牌。</w:t>
      </w:r>
    </w:p>
    <w:p>
      <w:pPr>
        <w:widowControl/>
        <w:spacing w:line="560" w:lineRule="exact"/>
        <w:ind w:firstLine="565" w:firstLineChars="176"/>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二、政策支持：</w:t>
      </w:r>
    </w:p>
    <w:p>
      <w:pPr>
        <w:pStyle w:val="8"/>
        <w:widowControl/>
        <w:tabs>
          <w:tab w:val="left" w:pos="312"/>
        </w:tabs>
        <w:spacing w:after="0" w:line="560" w:lineRule="exact"/>
        <w:ind w:firstLine="563" w:firstLineChars="176"/>
        <w:jc w:val="left"/>
        <w:rPr>
          <w:rFonts w:ascii="楷体" w:hAnsi="楷体" w:eastAsia="楷体" w:cs="楷体"/>
          <w:sz w:val="32"/>
          <w:szCs w:val="32"/>
        </w:rPr>
      </w:pPr>
      <w:r>
        <w:rPr>
          <w:rFonts w:hint="eastAsia" w:ascii="楷体" w:hAnsi="楷体" w:eastAsia="楷体" w:cs="楷体"/>
          <w:sz w:val="32"/>
          <w:szCs w:val="32"/>
        </w:rPr>
        <w:t>1、创投面对面</w:t>
      </w:r>
    </w:p>
    <w:p>
      <w:pPr>
        <w:widowControl/>
        <w:tabs>
          <w:tab w:val="left" w:pos="312"/>
        </w:tabs>
        <w:spacing w:line="560" w:lineRule="exact"/>
        <w:ind w:firstLine="563" w:firstLineChars="176"/>
        <w:jc w:val="left"/>
        <w:rPr>
          <w:rFonts w:ascii="仿宋_GB2312" w:hAnsi="仿宋_GB2312" w:eastAsia="仿宋_GB2312" w:cs="仿宋_GB2312"/>
          <w:sz w:val="32"/>
          <w:szCs w:val="32"/>
          <w:lang w:eastAsia="zh-TW"/>
        </w:rPr>
      </w:pPr>
      <w:r>
        <w:rPr>
          <w:rFonts w:hint="eastAsia" w:ascii="仿宋_GB2312" w:hAnsi="仿宋_GB2312" w:eastAsia="仿宋_GB2312" w:cs="仿宋_GB2312"/>
          <w:sz w:val="32"/>
          <w:szCs w:val="32"/>
        </w:rPr>
        <w:t>拟</w:t>
      </w:r>
      <w:r>
        <w:rPr>
          <w:rFonts w:hint="eastAsia" w:ascii="仿宋_GB2312" w:hAnsi="仿宋_GB2312" w:eastAsia="仿宋_GB2312" w:cs="仿宋_GB2312"/>
          <w:sz w:val="32"/>
          <w:szCs w:val="32"/>
          <w:lang w:eastAsia="zh-TW"/>
        </w:rPr>
        <w:t>邀</w:t>
      </w:r>
      <w:r>
        <w:rPr>
          <w:rFonts w:hint="eastAsia" w:ascii="仿宋_GB2312" w:hAnsi="仿宋_GB2312" w:eastAsia="仿宋_GB2312" w:cs="仿宋_GB2312"/>
          <w:sz w:val="32"/>
          <w:szCs w:val="32"/>
        </w:rPr>
        <w:t>投融资机构</w:t>
      </w:r>
      <w:r>
        <w:rPr>
          <w:rFonts w:hint="eastAsia" w:ascii="仿宋_GB2312" w:hAnsi="仿宋_GB2312" w:eastAsia="仿宋_GB2312" w:cs="仿宋_GB2312"/>
          <w:sz w:val="32"/>
          <w:szCs w:val="32"/>
          <w:lang w:eastAsia="zh-TW"/>
        </w:rPr>
        <w:t>负责人和</w:t>
      </w:r>
      <w:r>
        <w:rPr>
          <w:rFonts w:ascii="仿宋_GB2312" w:hAnsi="仿宋_GB2312" w:eastAsia="仿宋_GB2312" w:cs="仿宋_GB2312"/>
          <w:sz w:val="32"/>
          <w:szCs w:val="32"/>
          <w:lang w:eastAsia="zh-TW"/>
        </w:rPr>
        <w:t>20</w:t>
      </w:r>
      <w:r>
        <w:rPr>
          <w:rFonts w:hint="eastAsia" w:ascii="仿宋_GB2312" w:hAnsi="仿宋_GB2312" w:eastAsia="仿宋_GB2312" w:cs="仿宋_GB2312"/>
          <w:sz w:val="32"/>
          <w:szCs w:val="32"/>
          <w:lang w:eastAsia="zh-TW"/>
        </w:rPr>
        <w:t>强项目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TW"/>
        </w:rPr>
        <w:t>通过座谈的形式</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TW"/>
        </w:rPr>
        <w:t>深度探讨创业过程中遇到的难题，共话对文创产业的发展建议。</w:t>
      </w:r>
      <w:r>
        <w:rPr>
          <w:rFonts w:ascii="仿宋_GB2312" w:hAnsi="仿宋_GB2312" w:eastAsia="仿宋_GB2312" w:cs="仿宋_GB2312"/>
          <w:sz w:val="32"/>
          <w:szCs w:val="32"/>
          <w:lang w:eastAsia="zh-TW"/>
        </w:rPr>
        <w:t xml:space="preserve">  </w:t>
      </w:r>
    </w:p>
    <w:p>
      <w:pPr>
        <w:pStyle w:val="8"/>
        <w:widowControl/>
        <w:spacing w:after="0" w:line="560" w:lineRule="exact"/>
        <w:ind w:firstLine="563" w:firstLineChars="176"/>
        <w:jc w:val="left"/>
        <w:rPr>
          <w:rFonts w:ascii="楷体" w:hAnsi="楷体" w:eastAsia="楷体" w:cs="楷体"/>
          <w:sz w:val="32"/>
          <w:szCs w:val="32"/>
        </w:rPr>
      </w:pPr>
      <w:r>
        <w:rPr>
          <w:rFonts w:hint="eastAsia" w:ascii="楷体" w:hAnsi="楷体" w:eastAsia="楷体" w:cs="楷体"/>
          <w:sz w:val="32"/>
          <w:szCs w:val="32"/>
        </w:rPr>
        <w:t>2、文创市集</w:t>
      </w:r>
    </w:p>
    <w:p>
      <w:pPr>
        <w:pStyle w:val="8"/>
        <w:widowControl/>
        <w:spacing w:after="0" w:line="560" w:lineRule="exact"/>
        <w:ind w:firstLine="563" w:firstLineChars="176"/>
        <w:rPr>
          <w:rFonts w:ascii="仿宋_GB2312" w:hAnsi="仿宋_GB2312" w:eastAsia="仿宋_GB2312" w:cs="仿宋_GB2312"/>
          <w:sz w:val="32"/>
          <w:szCs w:val="32"/>
        </w:rPr>
      </w:pPr>
      <w:r>
        <w:rPr>
          <w:rFonts w:hint="eastAsia" w:ascii="仿宋_GB2312" w:hAnsi="仿宋_GB2312" w:eastAsia="仿宋_GB2312" w:cs="仿宋_GB2312"/>
          <w:sz w:val="32"/>
          <w:szCs w:val="32"/>
        </w:rPr>
        <w:t>长城主题赛区优秀项目将参加大赛优秀文创项目展、北京文创市集，为各方提供交流、展示、推介的机会</w:t>
      </w:r>
      <w:r>
        <w:rPr>
          <w:rFonts w:ascii="仿宋_GB2312" w:hAnsi="仿宋_GB2312" w:eastAsia="仿宋_GB2312" w:cs="仿宋_GB2312"/>
          <w:sz w:val="32"/>
          <w:szCs w:val="32"/>
        </w:rPr>
        <w:t>。</w:t>
      </w:r>
    </w:p>
    <w:p>
      <w:pPr>
        <w:pStyle w:val="8"/>
        <w:widowControl/>
        <w:spacing w:after="0" w:line="560" w:lineRule="exact"/>
        <w:ind w:firstLine="563" w:firstLineChars="176"/>
        <w:rPr>
          <w:rFonts w:ascii="楷体" w:hAnsi="楷体" w:eastAsia="楷体" w:cs="楷体"/>
          <w:sz w:val="32"/>
          <w:szCs w:val="32"/>
        </w:rPr>
      </w:pPr>
      <w:r>
        <w:rPr>
          <w:rFonts w:hint="eastAsia" w:ascii="楷体" w:hAnsi="楷体" w:eastAsia="楷体" w:cs="楷体"/>
          <w:sz w:val="32"/>
          <w:szCs w:val="32"/>
        </w:rPr>
        <w:t>3、创意之旅</w:t>
      </w:r>
    </w:p>
    <w:p>
      <w:pPr>
        <w:pStyle w:val="8"/>
        <w:widowControl/>
        <w:spacing w:after="0" w:line="560" w:lineRule="exact"/>
        <w:ind w:firstLine="563" w:firstLineChars="176"/>
        <w:rPr>
          <w:rFonts w:ascii="仿宋_GB2312" w:hAnsi="仿宋_GB2312" w:eastAsia="仿宋_GB2312" w:cs="仿宋_GB2312"/>
          <w:sz w:val="32"/>
          <w:szCs w:val="32"/>
        </w:rPr>
      </w:pPr>
      <w:r>
        <w:rPr>
          <w:rFonts w:hint="eastAsia" w:ascii="仿宋_GB2312" w:hAnsi="仿宋_GB2312" w:eastAsia="仿宋_GB2312" w:cs="仿宋_GB2312"/>
          <w:sz w:val="32"/>
          <w:szCs w:val="32"/>
        </w:rPr>
        <w:t>为长城主题赛区</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强选手提供北京地区文创之旅。了解长城沿线文创产业的发展，加深相互间的交流、分享和对接。旅程站点拟包括长城沿线地区的展示中心、设计中心、知名高校、文化产业园、众创空间及优秀企业。</w:t>
      </w:r>
    </w:p>
    <w:p>
      <w:pPr>
        <w:widowControl/>
        <w:spacing w:line="560" w:lineRule="exact"/>
        <w:ind w:firstLine="640" w:firstLineChars="200"/>
        <w:jc w:val="left"/>
        <w:rPr>
          <w:rFonts w:ascii="仿宋_GB2312" w:hAnsi="仿宋_GB2312" w:eastAsia="仿宋_GB2312" w:cs="仿宋_GB2312"/>
          <w:color w:val="000000"/>
          <w:sz w:val="32"/>
          <w:szCs w:val="32"/>
          <w:u w:color="000000"/>
          <w:lang w:val="zh-CN"/>
        </w:rPr>
      </w:pPr>
      <w:r>
        <w:rPr>
          <w:rFonts w:hint="eastAsia" w:ascii="仿宋_GB2312" w:hAnsi="仿宋_GB2312" w:eastAsia="仿宋_GB2312" w:cs="仿宋_GB2312"/>
          <w:color w:val="000000"/>
          <w:sz w:val="32"/>
          <w:szCs w:val="32"/>
          <w:u w:color="000000"/>
        </w:rPr>
        <w:t>4、</w:t>
      </w:r>
      <w:r>
        <w:rPr>
          <w:rFonts w:hint="eastAsia" w:ascii="仿宋_GB2312" w:hAnsi="仿宋_GB2312" w:eastAsia="仿宋_GB2312" w:cs="仿宋_GB2312"/>
          <w:color w:val="000000"/>
          <w:sz w:val="32"/>
          <w:szCs w:val="32"/>
          <w:u w:color="000000"/>
          <w:lang w:val="zh-CN"/>
        </w:rPr>
        <w:t>落地项目优先加入长城文创联盟，成为八达岭文创孵化平台专业团队成员单位，可提供：</w:t>
      </w:r>
    </w:p>
    <w:p>
      <w:pPr>
        <w:widowControl/>
        <w:numPr>
          <w:ilvl w:val="0"/>
          <w:numId w:val="1"/>
        </w:numPr>
        <w:spacing w:line="560" w:lineRule="exact"/>
        <w:ind w:left="1418"/>
        <w:jc w:val="left"/>
        <w:rPr>
          <w:rFonts w:ascii="仿宋_GB2312" w:hAnsi="仿宋_GB2312" w:eastAsia="仿宋_GB2312" w:cs="仿宋_GB2312"/>
          <w:color w:val="000000"/>
          <w:sz w:val="32"/>
          <w:szCs w:val="32"/>
          <w:u w:color="000000"/>
          <w:lang w:val="zh-CN"/>
        </w:rPr>
      </w:pPr>
      <w:r>
        <w:rPr>
          <w:rFonts w:hint="eastAsia" w:ascii="仿宋_GB2312" w:hAnsi="仿宋_GB2312" w:eastAsia="仿宋_GB2312" w:cs="仿宋_GB2312"/>
          <w:color w:val="000000"/>
          <w:sz w:val="32"/>
          <w:szCs w:val="32"/>
          <w:u w:color="000000"/>
          <w:lang w:val="zh-CN"/>
        </w:rPr>
        <w:t>优先提供产品研发转化销售的机会；</w:t>
      </w:r>
    </w:p>
    <w:p>
      <w:pPr>
        <w:widowControl/>
        <w:numPr>
          <w:ilvl w:val="0"/>
          <w:numId w:val="1"/>
        </w:numPr>
        <w:spacing w:line="560" w:lineRule="exact"/>
        <w:ind w:left="1418"/>
        <w:jc w:val="left"/>
        <w:rPr>
          <w:rFonts w:ascii="仿宋_GB2312" w:hAnsi="仿宋_GB2312" w:eastAsia="仿宋_GB2312" w:cs="仿宋_GB2312"/>
          <w:color w:val="000000"/>
          <w:sz w:val="32"/>
          <w:szCs w:val="32"/>
          <w:u w:color="000000"/>
          <w:lang w:val="zh-CN"/>
        </w:rPr>
      </w:pPr>
      <w:r>
        <w:rPr>
          <w:rFonts w:hint="eastAsia" w:ascii="仿宋_GB2312" w:hAnsi="仿宋_GB2312" w:eastAsia="仿宋_GB2312" w:cs="仿宋_GB2312"/>
          <w:color w:val="000000"/>
          <w:sz w:val="32"/>
          <w:szCs w:val="32"/>
          <w:u w:color="000000"/>
          <w:lang w:val="zh-CN"/>
        </w:rPr>
        <w:t>优先享受八达岭长城文创IP授权机会；</w:t>
      </w:r>
    </w:p>
    <w:p>
      <w:pPr>
        <w:widowControl/>
        <w:numPr>
          <w:ilvl w:val="0"/>
          <w:numId w:val="1"/>
        </w:numPr>
        <w:spacing w:line="560" w:lineRule="exact"/>
        <w:ind w:left="1418"/>
        <w:jc w:val="left"/>
        <w:rPr>
          <w:rFonts w:ascii="仿宋_GB2312" w:hAnsi="仿宋_GB2312" w:eastAsia="仿宋_GB2312" w:cs="仿宋_GB2312"/>
          <w:color w:val="000000"/>
          <w:sz w:val="32"/>
          <w:szCs w:val="32"/>
          <w:u w:color="000000"/>
          <w:lang w:val="zh-CN"/>
        </w:rPr>
      </w:pPr>
      <w:r>
        <w:rPr>
          <w:rFonts w:hint="eastAsia" w:ascii="仿宋_GB2312" w:hAnsi="仿宋_GB2312" w:eastAsia="仿宋_GB2312" w:cs="仿宋_GB2312"/>
          <w:color w:val="000000"/>
          <w:sz w:val="32"/>
          <w:szCs w:val="32"/>
          <w:u w:color="000000"/>
          <w:lang w:val="zh-CN"/>
        </w:rPr>
        <w:t>6个月内在北京八达岭总公司管理的景区内（延庆世葡园、古崖居、</w:t>
      </w:r>
      <w:r>
        <w:rPr>
          <w:rFonts w:hint="eastAsia" w:ascii="仿宋_GB2312" w:hAnsi="仿宋_GB2312" w:eastAsia="仿宋_GB2312" w:cs="仿宋_GB2312"/>
          <w:color w:val="000000"/>
          <w:sz w:val="32"/>
          <w:szCs w:val="32"/>
          <w:u w:color="000000"/>
        </w:rPr>
        <w:t>玉渡山、野鸭湖</w:t>
      </w:r>
      <w:r>
        <w:rPr>
          <w:rFonts w:hint="eastAsia" w:ascii="仿宋_GB2312" w:hAnsi="仿宋_GB2312" w:eastAsia="仿宋_GB2312" w:cs="仿宋_GB2312"/>
          <w:color w:val="000000"/>
          <w:sz w:val="32"/>
          <w:szCs w:val="32"/>
          <w:u w:color="000000"/>
          <w:lang w:val="zh-CN"/>
        </w:rPr>
        <w:t>等）享受免费参观考察10人次；</w:t>
      </w:r>
      <w:r>
        <w:rPr>
          <w:rFonts w:hint="eastAsia" w:ascii="仿宋_GB2312" w:hAnsi="仿宋_GB2312" w:eastAsia="仿宋_GB2312" w:cs="仿宋_GB2312"/>
          <w:color w:val="000000"/>
          <w:sz w:val="32"/>
          <w:szCs w:val="32"/>
          <w:u w:color="000000"/>
        </w:rPr>
        <w:t xml:space="preserve">   </w:t>
      </w:r>
    </w:p>
    <w:p>
      <w:pPr>
        <w:widowControl/>
        <w:numPr>
          <w:ilvl w:val="0"/>
          <w:numId w:val="1"/>
        </w:numPr>
        <w:spacing w:line="560" w:lineRule="exact"/>
        <w:ind w:left="1418"/>
        <w:jc w:val="left"/>
        <w:rPr>
          <w:rFonts w:ascii="仿宋_GB2312" w:hAnsi="仿宋_GB2312" w:eastAsia="仿宋_GB2312" w:cs="仿宋_GB2312"/>
          <w:color w:val="000000"/>
          <w:sz w:val="32"/>
          <w:szCs w:val="32"/>
          <w:u w:color="000000"/>
          <w:lang w:val="zh-CN"/>
        </w:rPr>
      </w:pPr>
      <w:r>
        <w:rPr>
          <w:rFonts w:hint="eastAsia" w:ascii="仿宋_GB2312" w:hAnsi="仿宋_GB2312" w:eastAsia="仿宋_GB2312" w:cs="仿宋_GB2312"/>
          <w:color w:val="000000"/>
          <w:sz w:val="32"/>
          <w:szCs w:val="32"/>
          <w:u w:color="000000"/>
          <w:lang w:val="zh-CN"/>
        </w:rPr>
        <w:t>企业及项目落地延庆，可享受一站式注册代办，免费进行2个商标设计注册保护，代理会计记账服务。</w:t>
      </w:r>
    </w:p>
    <w:p>
      <w:pPr>
        <w:pStyle w:val="8"/>
        <w:widowControl/>
        <w:tabs>
          <w:tab w:val="left" w:pos="312"/>
        </w:tabs>
        <w:spacing w:after="0" w:line="560" w:lineRule="exact"/>
        <w:ind w:firstLine="640"/>
        <w:jc w:val="left"/>
        <w:rPr>
          <w:rFonts w:ascii="仿宋_GB2312" w:hAnsi="仿宋_GB2312" w:eastAsia="仿宋_GB2312" w:cs="仿宋_GB2312"/>
          <w:color w:val="000000"/>
          <w:sz w:val="32"/>
          <w:szCs w:val="32"/>
          <w:u w:color="000000"/>
          <w:lang w:val="zh-CN"/>
        </w:rPr>
      </w:pPr>
      <w:r>
        <w:rPr>
          <w:rFonts w:hint="eastAsia" w:ascii="仿宋_GB2312" w:hAnsi="仿宋_GB2312" w:eastAsia="仿宋_GB2312" w:cs="仿宋_GB2312"/>
          <w:color w:val="000000"/>
          <w:sz w:val="32"/>
          <w:szCs w:val="32"/>
          <w:u w:color="000000"/>
        </w:rPr>
        <w:t>5、</w:t>
      </w:r>
      <w:r>
        <w:rPr>
          <w:rFonts w:hint="eastAsia" w:ascii="仿宋_GB2312" w:hAnsi="仿宋_GB2312" w:eastAsia="仿宋_GB2312" w:cs="仿宋_GB2312"/>
          <w:color w:val="000000"/>
          <w:sz w:val="32"/>
          <w:szCs w:val="32"/>
          <w:u w:color="000000"/>
          <w:lang w:val="zh-CN"/>
        </w:rPr>
        <w:t>赛后协助入围北京文化创意大赛决赛的参赛者结合节日宣传活动，与</w:t>
      </w:r>
      <w:bookmarkStart w:id="0" w:name="_GoBack"/>
      <w:bookmarkEnd w:id="0"/>
      <w:r>
        <w:rPr>
          <w:rFonts w:hint="eastAsia" w:ascii="仿宋_GB2312" w:hAnsi="仿宋_GB2312" w:eastAsia="仿宋_GB2312" w:cs="仿宋_GB2312"/>
          <w:color w:val="000000"/>
          <w:sz w:val="32"/>
          <w:szCs w:val="32"/>
          <w:u w:color="000000"/>
          <w:lang w:val="zh-CN"/>
        </w:rPr>
        <w:t>文创大赛进行签约仪式，对接各商业转化单位。</w:t>
      </w:r>
    </w:p>
    <w:p>
      <w:pPr>
        <w:pStyle w:val="8"/>
        <w:widowControl/>
        <w:tabs>
          <w:tab w:val="left" w:pos="312"/>
        </w:tabs>
        <w:spacing w:after="0" w:line="560" w:lineRule="exact"/>
        <w:ind w:firstLine="640"/>
        <w:jc w:val="left"/>
        <w:rPr>
          <w:rFonts w:ascii="仿宋_GB2312" w:hAnsi="仿宋_GB2312" w:eastAsia="仿宋_GB2312" w:cs="仿宋_GB2312"/>
          <w:color w:val="000000"/>
          <w:sz w:val="32"/>
          <w:szCs w:val="32"/>
          <w:u w:color="000000"/>
          <w:lang w:val="zh-CN"/>
        </w:rPr>
      </w:pPr>
      <w:r>
        <w:rPr>
          <w:rFonts w:hint="eastAsia" w:ascii="仿宋_GB2312" w:hAnsi="仿宋_GB2312" w:eastAsia="仿宋_GB2312" w:cs="仿宋_GB2312"/>
          <w:color w:val="000000"/>
          <w:sz w:val="32"/>
          <w:szCs w:val="32"/>
          <w:u w:color="000000"/>
        </w:rPr>
        <w:t>6、</w:t>
      </w:r>
      <w:r>
        <w:rPr>
          <w:rFonts w:hint="eastAsia" w:ascii="仿宋_GB2312" w:hAnsi="仿宋_GB2312" w:eastAsia="仿宋_GB2312" w:cs="仿宋_GB2312"/>
          <w:color w:val="000000"/>
          <w:sz w:val="32"/>
          <w:szCs w:val="32"/>
          <w:u w:color="000000"/>
          <w:lang w:val="zh-CN"/>
        </w:rPr>
        <w:t>赛后开放永久性商业转化通道为所有赛事参与者（企业）的参赛项目落地提供助力。</w:t>
      </w:r>
    </w:p>
    <w:p>
      <w:pPr>
        <w:pStyle w:val="8"/>
        <w:widowControl/>
        <w:tabs>
          <w:tab w:val="left" w:pos="312"/>
        </w:tabs>
        <w:spacing w:after="0" w:line="560" w:lineRule="exact"/>
        <w:ind w:firstLine="640"/>
        <w:jc w:val="left"/>
        <w:rPr>
          <w:rFonts w:ascii="仿宋_GB2312" w:hAnsi="仿宋_GB2312" w:eastAsia="仿宋_GB2312" w:cs="仿宋_GB2312"/>
          <w:color w:val="000000"/>
          <w:sz w:val="32"/>
          <w:szCs w:val="32"/>
          <w:u w:color="000000"/>
          <w:lang w:val="zh-CN"/>
        </w:rPr>
      </w:pPr>
      <w:r>
        <w:rPr>
          <w:rFonts w:hint="eastAsia" w:ascii="仿宋_GB2312" w:hAnsi="仿宋_GB2312" w:eastAsia="仿宋_GB2312" w:cs="仿宋_GB2312"/>
          <w:color w:val="000000"/>
          <w:sz w:val="32"/>
          <w:szCs w:val="32"/>
          <w:u w:color="000000"/>
        </w:rPr>
        <w:t>7、</w:t>
      </w:r>
      <w:r>
        <w:rPr>
          <w:rFonts w:hint="eastAsia" w:ascii="仿宋_GB2312" w:hAnsi="仿宋_GB2312" w:eastAsia="仿宋_GB2312" w:cs="仿宋_GB2312"/>
          <w:color w:val="000000"/>
          <w:sz w:val="32"/>
          <w:szCs w:val="32"/>
          <w:u w:color="000000"/>
          <w:lang w:val="zh-CN"/>
        </w:rPr>
        <w:t>一、二、三等奖获奖者拥有八达岭长城景区内部及周边沿线段物理空间运营的优先合作机会</w:t>
      </w:r>
      <w:r>
        <w:rPr>
          <w:rFonts w:ascii="仿宋_GB2312" w:hAnsi="仿宋_GB2312" w:eastAsia="仿宋_GB2312" w:cs="仿宋_GB2312"/>
          <w:color w:val="000000"/>
          <w:sz w:val="32"/>
          <w:szCs w:val="32"/>
          <w:u w:color="000000"/>
          <w:lang w:val="zh-CN"/>
        </w:rPr>
        <w:t>。</w:t>
      </w:r>
    </w:p>
    <w:p>
      <w:pPr>
        <w:pStyle w:val="8"/>
        <w:widowControl/>
        <w:tabs>
          <w:tab w:val="left" w:pos="312"/>
        </w:tabs>
        <w:spacing w:after="0" w:line="560" w:lineRule="exact"/>
        <w:ind w:firstLine="640"/>
        <w:jc w:val="left"/>
        <w:rPr>
          <w:rFonts w:ascii="仿宋_GB2312" w:hAnsi="仿宋_GB2312" w:eastAsia="仿宋_GB2312" w:cs="仿宋_GB2312"/>
          <w:color w:val="000000"/>
          <w:sz w:val="32"/>
          <w:szCs w:val="32"/>
          <w:u w:color="000000"/>
          <w:lang w:val="zh-CN"/>
        </w:rPr>
      </w:pPr>
      <w:r>
        <w:rPr>
          <w:rFonts w:hint="eastAsia" w:ascii="仿宋_GB2312" w:hAnsi="仿宋_GB2312" w:eastAsia="仿宋_GB2312" w:cs="仿宋_GB2312"/>
          <w:color w:val="000000"/>
          <w:sz w:val="32"/>
          <w:szCs w:val="32"/>
          <w:u w:color="000000"/>
        </w:rPr>
        <w:t>8、</w:t>
      </w:r>
      <w:r>
        <w:rPr>
          <w:rFonts w:hint="eastAsia" w:ascii="仿宋_GB2312" w:hAnsi="仿宋_GB2312" w:eastAsia="仿宋_GB2312" w:cs="仿宋_GB2312"/>
          <w:color w:val="000000"/>
          <w:sz w:val="32"/>
          <w:szCs w:val="32"/>
          <w:u w:color="000000"/>
          <w:lang w:val="zh-CN"/>
        </w:rPr>
        <w:t>获奖</w:t>
      </w:r>
      <w:r>
        <w:rPr>
          <w:rFonts w:ascii="仿宋_GB2312" w:hAnsi="仿宋_GB2312" w:eastAsia="仿宋_GB2312" w:cs="仿宋_GB2312"/>
          <w:color w:val="000000"/>
          <w:sz w:val="32"/>
          <w:szCs w:val="32"/>
          <w:u w:color="000000"/>
          <w:lang w:val="zh-CN"/>
        </w:rPr>
        <w:t>项目将受邀出席2020</w:t>
      </w:r>
      <w:r>
        <w:rPr>
          <w:rFonts w:hint="eastAsia" w:ascii="仿宋_GB2312" w:hAnsi="仿宋_GB2312" w:eastAsia="仿宋_GB2312" w:cs="仿宋_GB2312"/>
          <w:color w:val="000000"/>
          <w:sz w:val="32"/>
          <w:szCs w:val="32"/>
          <w:u w:color="000000"/>
          <w:lang w:val="zh-CN"/>
        </w:rPr>
        <w:t>年</w:t>
      </w:r>
      <w:r>
        <w:rPr>
          <w:rFonts w:ascii="仿宋_GB2312" w:hAnsi="仿宋_GB2312" w:eastAsia="仿宋_GB2312" w:cs="仿宋_GB2312"/>
          <w:color w:val="000000"/>
          <w:sz w:val="32"/>
          <w:szCs w:val="32"/>
          <w:u w:color="000000"/>
          <w:lang w:val="zh-CN"/>
        </w:rPr>
        <w:t>第二届北京八达岭长城文化节，</w:t>
      </w:r>
      <w:r>
        <w:rPr>
          <w:rFonts w:hint="eastAsia" w:ascii="仿宋_GB2312" w:hAnsi="仿宋_GB2312" w:eastAsia="仿宋_GB2312" w:cs="仿宋_GB2312"/>
          <w:color w:val="000000"/>
          <w:sz w:val="32"/>
          <w:szCs w:val="32"/>
          <w:u w:color="000000"/>
          <w:lang w:val="zh-CN"/>
        </w:rPr>
        <w:t>并</w:t>
      </w:r>
      <w:r>
        <w:rPr>
          <w:rFonts w:ascii="仿宋_GB2312" w:hAnsi="仿宋_GB2312" w:eastAsia="仿宋_GB2312" w:cs="仿宋_GB2312"/>
          <w:color w:val="000000"/>
          <w:sz w:val="32"/>
          <w:szCs w:val="32"/>
          <w:u w:color="000000"/>
          <w:lang w:val="zh-CN"/>
        </w:rPr>
        <w:t>参加颁奖</w:t>
      </w:r>
      <w:r>
        <w:rPr>
          <w:rFonts w:hint="eastAsia" w:ascii="仿宋_GB2312" w:hAnsi="仿宋_GB2312" w:eastAsia="仿宋_GB2312" w:cs="仿宋_GB2312"/>
          <w:color w:val="000000"/>
          <w:sz w:val="32"/>
          <w:szCs w:val="32"/>
          <w:u w:color="000000"/>
          <w:lang w:val="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黑体-简">
    <w:altName w:val="黑体"/>
    <w:panose1 w:val="00000000000000000000"/>
    <w:charset w:val="80"/>
    <w:family w:val="auto"/>
    <w:pitch w:val="default"/>
    <w:sig w:usb0="00000000" w:usb1="00000000" w:usb2="00000010" w:usb3="00000000" w:csb0="003E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黑体">
    <w:panose1 w:val="02010609060101010101"/>
    <w:charset w:val="80"/>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404FE"/>
    <w:multiLevelType w:val="multilevel"/>
    <w:tmpl w:val="40F404F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04315"/>
    <w:rsid w:val="0011750C"/>
    <w:rsid w:val="0029628B"/>
    <w:rsid w:val="00357246"/>
    <w:rsid w:val="00510E88"/>
    <w:rsid w:val="005230CF"/>
    <w:rsid w:val="008B0A39"/>
    <w:rsid w:val="00AE6BB7"/>
    <w:rsid w:val="00C04315"/>
    <w:rsid w:val="00EA4798"/>
    <w:rsid w:val="17E24CE7"/>
    <w:rsid w:val="39AA7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 w:type="paragraph" w:styleId="8">
    <w:name w:val="List Paragraph"/>
    <w:basedOn w:val="1"/>
    <w:qFormat/>
    <w:uiPriority w:val="34"/>
    <w:pPr>
      <w:spacing w:after="160" w:line="259" w:lineRule="auto"/>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edianzu.com</Company>
  <Pages>2</Pages>
  <Words>105</Words>
  <Characters>603</Characters>
  <Lines>5</Lines>
  <Paragraphs>1</Paragraphs>
  <TotalTime>76</TotalTime>
  <ScaleCrop>false</ScaleCrop>
  <LinksUpToDate>false</LinksUpToDate>
  <CharactersWithSpaces>707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2020-06-08T14:05:00Z</dcterms:created>
  <dc:creator>edianzu</dc:creator>
  <cp:lastModifiedBy>刘小龙</cp:lastModifiedBy>
  <dcterms:modified xsi:type="dcterms:W3CDTF">2020-06-14T08:41:08Z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